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12" w:val="single"/>
        </w:pBdr>
        <w:spacing w:line="240" w:lineRule="auto"/>
        <w:jc w:val="both"/>
        <w:rPr>
          <w:rFonts w:ascii="Poppins" w:cs="Poppins" w:eastAsia="Poppins" w:hAnsi="Poppins"/>
          <w:color w:val="ff0000"/>
          <w:sz w:val="12"/>
          <w:szCs w:val="12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ffffff"/>
          <w:sz w:val="28"/>
          <w:szCs w:val="28"/>
          <w:highlight w:val="red"/>
          <w:rtl w:val="0"/>
        </w:rPr>
        <w:t xml:space="preserve">CONTEÚDO</w:t>
      </w:r>
      <w:r w:rsidDel="00000000" w:rsidR="00000000" w:rsidRPr="00000000">
        <w:rPr>
          <w:rFonts w:ascii="Poppins" w:cs="Poppins" w:eastAsia="Poppins" w:hAnsi="Poppins"/>
          <w:color w:val="ff0000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spacing w:line="240" w:lineRule="auto"/>
        <w:jc w:val="both"/>
        <w:rPr>
          <w:rFonts w:ascii="Poppins" w:cs="Poppins" w:eastAsia="Poppins" w:hAnsi="Poppins"/>
          <w:b w:val="1"/>
          <w:bCs w:val="1"/>
          <w:color w:val="ff0000"/>
          <w:sz w:val="50"/>
          <w:szCs w:val="5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ff0000"/>
          <w:sz w:val="50"/>
          <w:szCs w:val="50"/>
          <w:rtl w:val="0"/>
        </w:rPr>
        <w:t xml:space="preserve">BLOG DO JOGO RESPONSÁVEL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spacing w:line="240" w:lineRule="auto"/>
        <w:jc w:val="both"/>
        <w:rPr>
          <w:rFonts w:ascii="Poppins" w:cs="Poppins" w:eastAsia="Poppins" w:hAnsi="Poppins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40"/>
          <w:szCs w:val="40"/>
          <w:rtl w:val="0"/>
        </w:rPr>
        <w:t xml:space="preserve">ARTIGO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after="0" w:before="0" w:lineRule="auto"/>
        <w:jc w:val="both"/>
        <w:rPr>
          <w:rFonts w:ascii="Poppins" w:cs="Poppins" w:eastAsia="Poppins" w:hAnsi="Poppins"/>
          <w:b w:val="1"/>
          <w:bCs w:val="1"/>
          <w:color w:val="000000"/>
          <w:sz w:val="26"/>
          <w:szCs w:val="26"/>
        </w:rPr>
      </w:pPr>
      <w:bookmarkStart w:colFirst="0" w:colLast="0" w:name="_oke86hq25x4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after="0" w:before="0" w:lineRule="auto"/>
        <w:jc w:val="both"/>
        <w:rPr>
          <w:rFonts w:ascii="Poppins" w:cs="Poppins" w:eastAsia="Poppins" w:hAnsi="Poppins"/>
          <w:b w:val="1"/>
          <w:bCs w:val="1"/>
          <w:color w:val="000000"/>
          <w:sz w:val="26"/>
          <w:szCs w:val="26"/>
        </w:rPr>
      </w:pPr>
      <w:bookmarkStart w:colFirst="0" w:colLast="0" w:name="_b7bxk2jqq0om" w:id="1"/>
      <w:bookmarkEnd w:id="1"/>
      <w:r w:rsidDel="00000000" w:rsidR="00000000" w:rsidRPr="00000000">
        <w:rPr>
          <w:rFonts w:ascii="Poppins" w:cs="Poppins" w:eastAsia="Poppins" w:hAnsi="Poppins"/>
          <w:b w:val="1"/>
          <w:bCs w:val="1"/>
          <w:color w:val="000000"/>
          <w:sz w:val="26"/>
          <w:szCs w:val="26"/>
          <w:rtl w:val="0"/>
        </w:rPr>
        <w:t xml:space="preserve">Publicidade responsável em jogos e apostas: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after="0" w:before="0" w:lineRule="auto"/>
        <w:jc w:val="both"/>
        <w:rPr>
          <w:rFonts w:ascii="Poppins" w:cs="Poppins" w:eastAsia="Poppins" w:hAnsi="Poppins"/>
          <w:b w:val="1"/>
          <w:bCs w:val="1"/>
          <w:color w:val="000000"/>
          <w:sz w:val="26"/>
          <w:szCs w:val="26"/>
        </w:rPr>
      </w:pPr>
      <w:bookmarkStart w:colFirst="0" w:colLast="0" w:name="_c7bz343gq4kh" w:id="2"/>
      <w:bookmarkEnd w:id="2"/>
      <w:r w:rsidDel="00000000" w:rsidR="00000000" w:rsidRPr="00000000">
        <w:rPr>
          <w:rFonts w:ascii="Poppins" w:cs="Poppins" w:eastAsia="Poppins" w:hAnsi="Poppins"/>
          <w:b w:val="1"/>
          <w:bCs w:val="1"/>
          <w:color w:val="000000"/>
          <w:sz w:val="26"/>
          <w:szCs w:val="26"/>
          <w:rtl w:val="0"/>
        </w:rPr>
        <w:t xml:space="preserve">o que operadores podem e não podem fazer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A publicidade é uma ferramenta poderosa, mas quando se trata de jogos e apostas, ela exige responsabilidade redobrada. Empresas do setor devem compreender que comunicar não é apenas atrair clientes — é também proteger pessoas em situação de vulnerabilidade e respeitar princípios éticos fundamentais visados pela Política de Jogo Responsável e pela autorregulação nacional.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Poppins" w:cs="Poppins" w:eastAsia="Poppins" w:hAnsi="Poppins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publicidade responsável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 em jogos deve seguir os critérios da autorregulação do setor — como os fixados pelo CONAR no Anexo X do Código Brasileiro de Autorregulamentação Publicitária — e as diretrizes da Política de Jogo Responsável da Paraíba. Entre as regras principais estão:</w:t>
      </w:r>
      <w:hyperlink r:id="rId6">
        <w:r w:rsidDel="00000000" w:rsidR="00000000" w:rsidRPr="00000000">
          <w:rPr>
            <w:rFonts w:ascii="Poppins" w:cs="Poppins" w:eastAsia="Poppins" w:hAnsi="Poppins"/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A propaganda 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não pode prometer lucro garantido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, ganhos fáceis ou enriquecimento rápido, nem apresentar o jogo como solução para problemas financeiros ou emocionais. Não pode associar apostas a sucesso, status ou ascensão social.</w:t>
      </w:r>
      <w:hyperlink r:id="rId7">
        <w:r w:rsidDel="00000000" w:rsidR="00000000" w:rsidRPr="00000000">
          <w:rPr>
            <w:rFonts w:ascii="Poppins" w:cs="Poppins" w:eastAsia="Poppins" w:hAnsi="Poppins"/>
            <w:color w:val="1155cc"/>
            <w:sz w:val="24"/>
            <w:szCs w:val="24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É proibido estimular apostas excessivas, repetitivas ou comportamentos compulsivos. Campanhas não devem usar apelos de urgência, pressão ou linguagem que incentive o vício.</w:t>
      </w:r>
      <w:hyperlink r:id="rId8">
        <w:r w:rsidDel="00000000" w:rsidR="00000000" w:rsidRPr="00000000">
          <w:rPr>
            <w:rFonts w:ascii="Poppins" w:cs="Poppins" w:eastAsia="Poppins" w:hAnsi="Poppins"/>
            <w:color w:val="1155cc"/>
            <w:sz w:val="24"/>
            <w:szCs w:val="24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A publicidade não pode ser dirigida — direta ou indiretamente — a menores de 18 anos. Devem ser incluídas advertências claras como “18+” ou “Proibido para menores de 18 anos” e evitar linguagem ou imagens que atraiam o público infanto-juvenil.</w:t>
      </w:r>
      <w:hyperlink r:id="rId9">
        <w:r w:rsidDel="00000000" w:rsidR="00000000" w:rsidRPr="00000000">
          <w:rPr>
            <w:rFonts w:ascii="Poppins" w:cs="Poppins" w:eastAsia="Poppins" w:hAnsi="Poppins"/>
            <w:color w:val="1155cc"/>
            <w:sz w:val="24"/>
            <w:szCs w:val="24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Toda peça publicitária deve conter uma mensagem de alerta sobre os riscos do jogo: por exemplo, “Jogue com responsabilidade”, “Apostas podem causar perdas”, “Jogo é lazer, não investimento”. Esse aviso deve estar de forma clara e visível.</w:t>
      </w:r>
      <w:hyperlink r:id="rId10">
        <w:r w:rsidDel="00000000" w:rsidR="00000000" w:rsidRPr="00000000">
          <w:rPr>
            <w:rFonts w:ascii="Poppins" w:cs="Poppins" w:eastAsia="Poppins" w:hAnsi="Poppins"/>
            <w:color w:val="1155cc"/>
            <w:sz w:val="24"/>
            <w:szCs w:val="24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A publicidade deve identificar claramente seu caráter comercial: anúncios devem ser reconhecíveis como publicidade, e o anunciante ou operador responsável deve estar explicitamente indicado. Se houver influenciadores ou afiliados, deve haver identificação clara de “parceria paga/paid partnership”.</w:t>
      </w:r>
      <w:hyperlink r:id="rId11">
        <w:r w:rsidDel="00000000" w:rsidR="00000000" w:rsidRPr="00000000">
          <w:rPr>
            <w:rFonts w:ascii="Poppins" w:cs="Poppins" w:eastAsia="Poppins" w:hAnsi="Poppins"/>
            <w:color w:val="1155cc"/>
            <w:sz w:val="24"/>
            <w:szCs w:val="24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Poppins" w:cs="Poppins" w:eastAsia="Poppins" w:hAnsi="Poppins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Além disso, operadores devem evitar oferecer bônus de boas-vindas, crédito fácil ou facilitação de aposta como forma de atrair clientes — práticas proibidas pela legislação e pelas orientações atuais.</w:t>
      </w:r>
      <w:hyperlink r:id="rId12">
        <w:r w:rsidDel="00000000" w:rsidR="00000000" w:rsidRPr="00000000">
          <w:rPr>
            <w:rFonts w:ascii="Poppins" w:cs="Poppins" w:eastAsia="Poppins" w:hAnsi="Poppins"/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A comunicação deve ser honesta, transparente e orientada ao bem-estar do apostador. O foco não deve ser apenas no lucro da empresa, mas no compromisso social com a prevenção da ludopatia e com a proteção dos consumidores.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A LOTEP e as autoridades competentes valorizam a autorregulação e a responsabilidade corporativa. Publicidade ética e conforme regulações reforça a credibilidade do setor e reduz riscos reputacionais e regulatórios — além de proteger os direitos dos cidadãos.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jc w:val="both"/>
        <w:rPr>
          <w:rFonts w:ascii="Poppins" w:cs="Poppins" w:eastAsia="Poppins" w:hAnsi="Poppins"/>
          <w:b w:val="1"/>
          <w:bCs w:val="1"/>
          <w:color w:val="000000"/>
          <w:sz w:val="26"/>
          <w:szCs w:val="26"/>
        </w:rPr>
      </w:pPr>
      <w:bookmarkStart w:colFirst="0" w:colLast="0" w:name="_4owqq5m3ivhg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sbcamericas.com/2024/01/05/brazil-sports-betting-ad-regulations/?utm_source=chatgpt.com" TargetMode="External"/><Relationship Id="rId10" Type="http://schemas.openxmlformats.org/officeDocument/2006/relationships/hyperlink" Target="https://nasser.adv.br/en/publicacoes/betting-advertising-conars-market-regulation/?utm_source=chatgpt.com" TargetMode="External"/><Relationship Id="rId12" Type="http://schemas.openxmlformats.org/officeDocument/2006/relationships/hyperlink" Target="https://www.vixio.com/insights/gc-regulatory-influencer-advertising-restrictions-advancing-brazil?utm_source=chatgpt.com" TargetMode="External"/><Relationship Id="rId9" Type="http://schemas.openxmlformats.org/officeDocument/2006/relationships/hyperlink" Target="https://www.bicharaemotta.com.br/en/conar-releases-rules-for-betting-advertising-in-brazil/?utm_source=chatgpt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igamingbrazil.com/en/legislation-en/2024/01/03/conar-establishes-rules-for-betting-house-advertising-in-brazil/?utm_source=chatgpt.com" TargetMode="External"/><Relationship Id="rId7" Type="http://schemas.openxmlformats.org/officeDocument/2006/relationships/hyperlink" Target="https://www.bicharaemotta.com.br/en/conar-releases-rules-for-betting-advertising-in-brazil/?utm_source=chatgpt.com" TargetMode="External"/><Relationship Id="rId8" Type="http://schemas.openxmlformats.org/officeDocument/2006/relationships/hyperlink" Target="https://maquinadoesporte.com.br/apostas/nova-regra-do-conar-sobre-publicidade-de-apostas-barra-atletas-menores-de-21-anos-em-propagandas/?utm_source=chatgpt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