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spacing w:line="240" w:lineRule="auto"/>
        <w:jc w:val="both"/>
        <w:rPr>
          <w:rFonts w:ascii="Poppins" w:cs="Poppins" w:eastAsia="Poppins" w:hAnsi="Poppins"/>
          <w:b w:val="1"/>
          <w:bCs w:val="1"/>
          <w:color w:val="ff0000"/>
          <w:sz w:val="50"/>
          <w:szCs w:val="5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ff0000"/>
          <w:sz w:val="50"/>
          <w:szCs w:val="50"/>
          <w:rtl w:val="0"/>
        </w:rPr>
        <w:t xml:space="preserve">BLOG DO JOGO RESPONSÁVEL</w:t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spacing w:line="240" w:lineRule="auto"/>
        <w:jc w:val="both"/>
        <w:rPr>
          <w:rFonts w:ascii="Poppins" w:cs="Poppins" w:eastAsia="Poppins" w:hAnsi="Poppins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40"/>
          <w:szCs w:val="40"/>
          <w:rtl w:val="0"/>
        </w:rPr>
        <w:t xml:space="preserve">ARTIGO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  <w:rtl w:val="0"/>
        </w:rPr>
        <w:t xml:space="preserve">Quando o jogo deixa de ser diversão?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Nem sempre é fácil perceber quando o jogo ultrapassa o limite do entretenimento e começa a causar danos. Muitas pessoas só se dão conta quando os prejuízos já estão afetando a vida financeira, profissional e familiar. Por isso, conhecer os sinais de alerta do jogo problemático é um passo fundamental dentro do conceito de Jogo Responsável.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Um dos primeiros sinais é a perda de controle. A pessoa promete que vai apostar pouco, mas sempre ultrapassa o valor ou o tempo planejado. Outro indício comum é a chamada “perseguição do prejuízo”: quando alguém perde e passa a apostar ainda mais para tentar recuperar o dinheiro perdido.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Também é um alerta quando a pessoa: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Mente sobre o quanto aposta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Esconde comprovantes, aplicativos ou conversas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Usa dinheiro destinado a contas essenciais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Pede empréstimos para continuar jogando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Fica irritada quando é questionada sobre apostas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Mudanças de humor frequentes, ansiedade, insônia e isolamento social também podem estar relacionadas ao jogo descontrolado.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É importante entender: o problema não é a aposta em si, mas a forma como ela passa a dominar a vida da pessoa.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Se você se identificou com algum desses sinais, a recomendação é clara: pare, respire e busque apoio. Conversar com alguém de confiança já é um passo importante — pode ser um familiar, amigo ou profissional de saúde.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Organizar um plano simples de recuperação também ajuda: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Desinstale aplicativos de apostas por um período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Bloqueie sites de jogos no celular ou computador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Entregue seus cartões ou limite seu acesso ao dinheiro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Preencha seu tempo com outras atividades, como exercícios, cursos ou lazer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 Loteria do Estado da Paraíba (Lotep) entende que cuidar da saúde do cidadão também faz parte da sua missão. O Jogo Responsável inclui acolhimento, orientação e incentivo à recuperação.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Reconhecer o problema não é fraqueza. É coragem. E toda mudança começa com uma decisão: a de cuidar de você.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#JogoProblemático #Ludopatia #SaúdeMental #ApostaConsciente #JogoResponsável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